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BCFC" w14:textId="77777777" w:rsidR="00A54083" w:rsidRPr="00F463CA" w:rsidRDefault="00A54083" w:rsidP="00923125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F463CA">
        <w:rPr>
          <w:rFonts w:asciiTheme="majorHAnsi" w:hAnsiTheme="majorHAnsi" w:cstheme="majorHAnsi"/>
          <w:b/>
          <w:sz w:val="18"/>
          <w:szCs w:val="18"/>
        </w:rPr>
        <w:t>EFFORT REPORTING ROLES &amp; RESPONSIBILITIES</w:t>
      </w:r>
    </w:p>
    <w:p w14:paraId="3CC00C4E" w14:textId="77777777" w:rsidR="00A54083" w:rsidRPr="00F463CA" w:rsidRDefault="00CA1521" w:rsidP="00A5408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Placing</w:t>
      </w:r>
      <w:r w:rsidR="00A54083" w:rsidRPr="00F463CA">
        <w:rPr>
          <w:rFonts w:asciiTheme="majorHAnsi" w:hAnsiTheme="majorHAnsi" w:cstheme="majorHAnsi"/>
          <w:sz w:val="18"/>
          <w:szCs w:val="18"/>
        </w:rPr>
        <w:t xml:space="preserve"> users in different roles </w:t>
      </w:r>
      <w:r w:rsidR="00C74E95" w:rsidRPr="00F463CA">
        <w:rPr>
          <w:rFonts w:asciiTheme="majorHAnsi" w:hAnsiTheme="majorHAnsi" w:cstheme="majorHAnsi"/>
          <w:sz w:val="18"/>
          <w:szCs w:val="18"/>
        </w:rPr>
        <w:t>ensure</w:t>
      </w:r>
      <w:r w:rsidR="00A54083" w:rsidRPr="00F463CA">
        <w:rPr>
          <w:rFonts w:asciiTheme="majorHAnsi" w:hAnsiTheme="majorHAnsi" w:cstheme="majorHAnsi"/>
          <w:sz w:val="18"/>
          <w:szCs w:val="18"/>
        </w:rPr>
        <w:t xml:space="preserve">s proper separation of duties. </w:t>
      </w:r>
      <w:r>
        <w:rPr>
          <w:rFonts w:asciiTheme="majorHAnsi" w:hAnsiTheme="majorHAnsi" w:cstheme="majorHAnsi"/>
          <w:sz w:val="18"/>
          <w:szCs w:val="18"/>
        </w:rPr>
        <w:t>Roles help determine a user’s limits and capabilities within ECC</w:t>
      </w:r>
      <w:r w:rsidR="00A54083" w:rsidRPr="00F463CA">
        <w:rPr>
          <w:rFonts w:asciiTheme="majorHAnsi" w:hAnsiTheme="majorHAnsi" w:cstheme="majorHAnsi"/>
          <w:sz w:val="18"/>
          <w:szCs w:val="18"/>
        </w:rPr>
        <w:t xml:space="preserve">. Contact effort@uth.tmc.edu to gain access to the </w:t>
      </w:r>
      <w:r w:rsidR="007B6648" w:rsidRPr="00F463CA">
        <w:rPr>
          <w:rFonts w:asciiTheme="majorHAnsi" w:hAnsiTheme="majorHAnsi" w:cstheme="majorHAnsi"/>
          <w:sz w:val="18"/>
          <w:szCs w:val="18"/>
        </w:rPr>
        <w:t>Effort Reporting System</w:t>
      </w:r>
      <w:r w:rsidR="00A54083" w:rsidRPr="00F463CA">
        <w:rPr>
          <w:rFonts w:asciiTheme="majorHAnsi" w:hAnsiTheme="majorHAnsi" w:cstheme="majorHAnsi"/>
          <w:sz w:val="18"/>
          <w:szCs w:val="18"/>
        </w:rPr>
        <w:t>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558"/>
        <w:gridCol w:w="2667"/>
        <w:gridCol w:w="3128"/>
        <w:gridCol w:w="3712"/>
      </w:tblGrid>
      <w:tr w:rsidR="008A1750" w:rsidRPr="00F463CA" w14:paraId="18DB8423" w14:textId="77777777" w:rsidTr="00C73E6A">
        <w:trPr>
          <w:trHeight w:val="263"/>
        </w:trPr>
        <w:tc>
          <w:tcPr>
            <w:tcW w:w="1558" w:type="dxa"/>
            <w:tcBorders>
              <w:bottom w:val="single" w:sz="4" w:space="0" w:color="auto"/>
            </w:tcBorders>
          </w:tcPr>
          <w:p w14:paraId="2EA4D05F" w14:textId="77777777" w:rsidR="008A1750" w:rsidRPr="00F463CA" w:rsidRDefault="008A1750" w:rsidP="00626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Role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03DAA3A8" w14:textId="77777777" w:rsidR="008A1750" w:rsidRPr="00F463CA" w:rsidRDefault="0058517D" w:rsidP="00626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Role </w:t>
            </w:r>
            <w:r w:rsidR="008A1750"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Description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75C52105" w14:textId="77777777" w:rsidR="008A1750" w:rsidRPr="00F463CA" w:rsidRDefault="008A1750" w:rsidP="00626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Responsibility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2690B77A" w14:textId="77777777" w:rsidR="008A1750" w:rsidRPr="00F463CA" w:rsidRDefault="008A1750" w:rsidP="00626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Tasks</w:t>
            </w:r>
            <w:r w:rsidR="00E4148C"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to Complete</w:t>
            </w:r>
            <w:r w:rsidR="00D11137"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  <w:r w:rsidR="00E4148C"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8A1750" w:rsidRPr="00F463CA" w14:paraId="1E8AA434" w14:textId="77777777" w:rsidTr="00C73E6A">
        <w:trPr>
          <w:trHeight w:val="4796"/>
        </w:trPr>
        <w:tc>
          <w:tcPr>
            <w:tcW w:w="1558" w:type="dxa"/>
            <w:tcBorders>
              <w:bottom w:val="single" w:sz="4" w:space="0" w:color="auto"/>
            </w:tcBorders>
          </w:tcPr>
          <w:p w14:paraId="3868EAC3" w14:textId="77777777" w:rsidR="008A1750" w:rsidRPr="00F463CA" w:rsidRDefault="00D95F9E" w:rsidP="00A5408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Primary Individual 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2C030F96" w14:textId="77777777" w:rsidR="004B6D4A" w:rsidRDefault="00D95F9E" w:rsidP="00A5408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Individuals with a principal investigator, co-investigator, project director, or co-project director role or those with comparable responsibilities on a sponsored project who may or may not have a faculty appointment at the university</w:t>
            </w:r>
            <w:r w:rsidR="008B544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C79B1AE" w14:textId="77777777" w:rsidR="004B6D4A" w:rsidRDefault="004B6D4A" w:rsidP="00A5408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3A21EED" w14:textId="77777777" w:rsidR="008A1750" w:rsidRPr="00F463CA" w:rsidRDefault="004B6D4A" w:rsidP="00A5408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B6D4A">
              <w:rPr>
                <w:rFonts w:asciiTheme="majorHAnsi" w:hAnsiTheme="majorHAnsi" w:cstheme="majorHAnsi"/>
                <w:b/>
                <w:sz w:val="18"/>
                <w:szCs w:val="18"/>
              </w:rPr>
              <w:t>NOTE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="00D95F9E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This also includes individuals with a faculty appointment at the university who do not have these comparable responsibilities (per </w:t>
            </w:r>
            <w:hyperlink r:id="rId6" w:history="1">
              <w:r w:rsidR="00D95F9E" w:rsidRPr="004B6D4A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HOOP 93</w:t>
              </w:r>
            </w:hyperlink>
            <w:r w:rsidR="00D95F9E" w:rsidRPr="00F463CA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6D894535" w14:textId="77777777" w:rsidR="008A1750" w:rsidRPr="004B6D4A" w:rsidRDefault="008A1750" w:rsidP="004B6D4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4B6D4A">
              <w:rPr>
                <w:rFonts w:asciiTheme="majorHAnsi" w:hAnsiTheme="majorHAnsi" w:cstheme="majorHAnsi"/>
                <w:sz w:val="18"/>
                <w:szCs w:val="18"/>
              </w:rPr>
              <w:t>Understand their own effort commitment(s) and associated salary charged on all applicable sponsored projects</w:t>
            </w:r>
          </w:p>
          <w:p w14:paraId="4630FDA9" w14:textId="77777777" w:rsidR="004B6D4A" w:rsidRDefault="004B6D4A" w:rsidP="004B6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0801C87" w14:textId="77777777" w:rsidR="008A1750" w:rsidRPr="004B6D4A" w:rsidRDefault="008A1750" w:rsidP="004B6D4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4B6D4A">
              <w:rPr>
                <w:rFonts w:asciiTheme="majorHAnsi" w:hAnsiTheme="majorHAnsi" w:cstheme="majorHAnsi"/>
                <w:sz w:val="18"/>
                <w:szCs w:val="18"/>
              </w:rPr>
              <w:t xml:space="preserve">Understand the </w:t>
            </w:r>
            <w:r w:rsidR="00336BAA" w:rsidRPr="004B6D4A">
              <w:rPr>
                <w:rFonts w:asciiTheme="majorHAnsi" w:hAnsiTheme="majorHAnsi" w:cstheme="majorHAnsi"/>
                <w:sz w:val="18"/>
                <w:szCs w:val="18"/>
              </w:rPr>
              <w:t xml:space="preserve">effort and salary charged </w:t>
            </w:r>
            <w:r w:rsidR="00F81616">
              <w:rPr>
                <w:rFonts w:asciiTheme="majorHAnsi" w:hAnsiTheme="majorHAnsi" w:cstheme="majorHAnsi"/>
                <w:sz w:val="18"/>
                <w:szCs w:val="18"/>
              </w:rPr>
              <w:t>by</w:t>
            </w:r>
            <w:r w:rsidR="00336BAA" w:rsidRPr="004B6D4A">
              <w:rPr>
                <w:rFonts w:asciiTheme="majorHAnsi" w:hAnsiTheme="majorHAnsi" w:cstheme="majorHAnsi"/>
                <w:sz w:val="18"/>
                <w:szCs w:val="18"/>
              </w:rPr>
              <w:t xml:space="preserve"> all </w:t>
            </w:r>
            <w:r w:rsidR="004F65BA" w:rsidRPr="004B6D4A">
              <w:rPr>
                <w:rFonts w:asciiTheme="majorHAnsi" w:hAnsiTheme="majorHAnsi" w:cstheme="majorHAnsi"/>
                <w:sz w:val="18"/>
                <w:szCs w:val="18"/>
              </w:rPr>
              <w:t>support</w:t>
            </w:r>
            <w:r w:rsidRPr="004B6D4A">
              <w:rPr>
                <w:rFonts w:asciiTheme="majorHAnsi" w:hAnsiTheme="majorHAnsi" w:cstheme="majorHAnsi"/>
                <w:sz w:val="18"/>
                <w:szCs w:val="18"/>
              </w:rPr>
              <w:t xml:space="preserve"> staff </w:t>
            </w:r>
            <w:r w:rsidR="00336BAA" w:rsidRPr="004B6D4A">
              <w:rPr>
                <w:rFonts w:asciiTheme="majorHAnsi" w:hAnsiTheme="majorHAnsi" w:cstheme="majorHAnsi"/>
                <w:sz w:val="18"/>
                <w:szCs w:val="18"/>
              </w:rPr>
              <w:t>for</w:t>
            </w:r>
            <w:r w:rsidRPr="004B6D4A">
              <w:rPr>
                <w:rFonts w:asciiTheme="majorHAnsi" w:hAnsiTheme="majorHAnsi" w:cstheme="majorHAnsi"/>
                <w:sz w:val="18"/>
                <w:szCs w:val="18"/>
              </w:rPr>
              <w:t xml:space="preserve"> applicable sponsored projects </w:t>
            </w:r>
          </w:p>
          <w:p w14:paraId="2DD3429B" w14:textId="77777777" w:rsidR="004B6D4A" w:rsidRDefault="004B6D4A" w:rsidP="004B6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AF0CCD" w14:textId="77777777" w:rsidR="005F422A" w:rsidRPr="004B6D4A" w:rsidRDefault="008A1750" w:rsidP="004B6D4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4B6D4A">
              <w:rPr>
                <w:rFonts w:asciiTheme="majorHAnsi" w:hAnsiTheme="majorHAnsi" w:cstheme="majorHAnsi"/>
                <w:sz w:val="18"/>
                <w:szCs w:val="18"/>
              </w:rPr>
              <w:t xml:space="preserve">Monitor and review salary charges on awards on a routine basis (i.e. at least monthly) with grant administrators and department managers </w:t>
            </w:r>
            <w:r w:rsidR="00F81616">
              <w:rPr>
                <w:rFonts w:asciiTheme="majorHAnsi" w:hAnsiTheme="majorHAnsi" w:cstheme="majorHAnsi"/>
                <w:sz w:val="18"/>
                <w:szCs w:val="18"/>
              </w:rPr>
              <w:t>identifying</w:t>
            </w:r>
            <w:r w:rsidRPr="004B6D4A">
              <w:rPr>
                <w:rFonts w:asciiTheme="majorHAnsi" w:hAnsiTheme="majorHAnsi" w:cstheme="majorHAnsi"/>
                <w:sz w:val="18"/>
                <w:szCs w:val="18"/>
              </w:rPr>
              <w:t xml:space="preserve"> any-effort related changes for administrators to post if needed</w:t>
            </w:r>
          </w:p>
          <w:p w14:paraId="028ADBCF" w14:textId="77777777" w:rsidR="004B6D4A" w:rsidRDefault="004B6D4A" w:rsidP="004B6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1F44AE" w14:textId="77777777" w:rsidR="002F7AFA" w:rsidRPr="004B6D4A" w:rsidRDefault="002F7AFA" w:rsidP="004B6D4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4B6D4A">
              <w:rPr>
                <w:rFonts w:asciiTheme="majorHAnsi" w:hAnsiTheme="majorHAnsi" w:cstheme="majorHAnsi"/>
                <w:sz w:val="18"/>
                <w:szCs w:val="18"/>
              </w:rPr>
              <w:t>Certify their own effort statement and the effort of support staff on their sponsored projects before the deadline of each effort certification period</w:t>
            </w:r>
          </w:p>
          <w:p w14:paraId="5E9A8EB1" w14:textId="77777777" w:rsidR="005F422A" w:rsidRPr="00F463CA" w:rsidRDefault="005F422A" w:rsidP="005F422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A611814" w14:textId="77777777" w:rsidR="0058517D" w:rsidRPr="00F463CA" w:rsidRDefault="0058517D" w:rsidP="005F42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NOTE: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95F9E" w:rsidRPr="00F463CA">
              <w:rPr>
                <w:rFonts w:asciiTheme="majorHAnsi" w:hAnsiTheme="majorHAnsi" w:cstheme="majorHAnsi"/>
                <w:sz w:val="18"/>
                <w:szCs w:val="18"/>
              </w:rPr>
              <w:t>Primary Individuals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should notify Effort Coordinators any time there is a significant change in workload such as new or expiring grants, additional non-sponsored responsibilities (committee assignments, departmental leadership roles, additional teaching load, etc.).</w:t>
            </w:r>
          </w:p>
          <w:p w14:paraId="29E5BA2B" w14:textId="77777777" w:rsidR="008A1750" w:rsidRPr="00F463CA" w:rsidDel="00A401CB" w:rsidRDefault="008A1750" w:rsidP="0058517D">
            <w:pPr>
              <w:pStyle w:val="ListParagraph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6D23C39C" w14:textId="77777777" w:rsidR="002C7848" w:rsidRPr="00F463CA" w:rsidRDefault="00380166" w:rsidP="004F65B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="0022215B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eview 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their </w:t>
            </w:r>
            <w:r w:rsidR="0022215B" w:rsidRPr="00F463CA">
              <w:rPr>
                <w:rFonts w:asciiTheme="majorHAnsi" w:hAnsiTheme="majorHAnsi" w:cstheme="majorHAnsi"/>
                <w:sz w:val="18"/>
                <w:szCs w:val="18"/>
              </w:rPr>
              <w:t>own effort statement</w:t>
            </w:r>
          </w:p>
          <w:p w14:paraId="10141629" w14:textId="77777777" w:rsidR="00380166" w:rsidRPr="00F463CA" w:rsidRDefault="00380166" w:rsidP="00380166">
            <w:pPr>
              <w:pStyle w:val="List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A2D851" w14:textId="77777777" w:rsidR="005F422A" w:rsidRPr="00F463CA" w:rsidRDefault="002C7848" w:rsidP="005F422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Inform Effort Coordinator if </w:t>
            </w:r>
            <w:r w:rsidR="00380166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their 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effort statement does not accurately reflect effort distribution over the period of performance</w:t>
            </w:r>
          </w:p>
          <w:p w14:paraId="1B5188D3" w14:textId="77777777" w:rsidR="005F422A" w:rsidRPr="00F463CA" w:rsidRDefault="005F422A" w:rsidP="005F422A">
            <w:pPr>
              <w:pStyle w:val="List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FAC1A0" w14:textId="77777777" w:rsidR="008A1750" w:rsidRPr="00F463CA" w:rsidRDefault="00380166" w:rsidP="005F422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="008A1750" w:rsidRPr="00F463CA">
              <w:rPr>
                <w:rFonts w:asciiTheme="majorHAnsi" w:hAnsiTheme="majorHAnsi" w:cstheme="majorHAnsi"/>
                <w:sz w:val="18"/>
                <w:szCs w:val="18"/>
              </w:rPr>
              <w:t>ertif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="008A1750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E0AEA" w:rsidRPr="00F463CA">
              <w:rPr>
                <w:rFonts w:asciiTheme="majorHAnsi" w:hAnsiTheme="majorHAnsi" w:cstheme="majorHAnsi"/>
                <w:sz w:val="18"/>
                <w:szCs w:val="18"/>
              </w:rPr>
              <w:t>their</w:t>
            </w:r>
            <w:r w:rsidR="008A1750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own effort</w:t>
            </w:r>
            <w:r w:rsidR="0022215B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statement</w:t>
            </w:r>
          </w:p>
          <w:p w14:paraId="2BE2C8BB" w14:textId="77777777" w:rsidR="005E7A8B" w:rsidRPr="00F463CA" w:rsidRDefault="005E7A8B" w:rsidP="005E7A8B">
            <w:pPr>
              <w:pStyle w:val="List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3B6ADA" w14:textId="77777777" w:rsidR="005E7A8B" w:rsidRPr="00F463CA" w:rsidRDefault="00BE3FA3" w:rsidP="005F422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Certify Supporting Individual’s payroll percentage as it equates to the effort for each of these individuals on the sponsored projects for which the Primary Individual is responsible and</w:t>
            </w:r>
          </w:p>
          <w:p w14:paraId="207EFA86" w14:textId="77777777" w:rsidR="005E7A8B" w:rsidRPr="00F463CA" w:rsidRDefault="005E7A8B" w:rsidP="005E7A8B">
            <w:pPr>
              <w:pStyle w:val="ListParagrap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5DAB8A" w14:textId="77777777" w:rsidR="005E7A8B" w:rsidRPr="00F463CA" w:rsidRDefault="005E7A8B" w:rsidP="005F422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Complete Effort Reporting Training (</w:t>
            </w:r>
            <w:hyperlink r:id="rId7" w:history="1">
              <w:r w:rsidR="00B170AF" w:rsidRPr="0058094A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Learn2Succeed </w:t>
              </w:r>
              <w:r w:rsidR="0058094A" w:rsidRPr="0058094A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Link</w:t>
              </w:r>
            </w:hyperlink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</w:tbl>
    <w:p w14:paraId="47CA14EA" w14:textId="77777777" w:rsidR="00733F75" w:rsidRPr="00F463CA" w:rsidRDefault="00733F75">
      <w:pPr>
        <w:rPr>
          <w:rFonts w:asciiTheme="majorHAnsi" w:hAnsiTheme="majorHAnsi" w:cstheme="majorHAnsi"/>
          <w:sz w:val="18"/>
          <w:szCs w:val="18"/>
        </w:rPr>
      </w:pPr>
      <w:r w:rsidRPr="00F463CA">
        <w:rPr>
          <w:rFonts w:asciiTheme="majorHAnsi" w:hAnsiTheme="majorHAnsi" w:cstheme="majorHAnsi"/>
          <w:sz w:val="18"/>
          <w:szCs w:val="18"/>
        </w:rPr>
        <w:br w:type="page"/>
      </w:r>
    </w:p>
    <w:p w14:paraId="2E912D6D" w14:textId="77777777" w:rsidR="009140BD" w:rsidRPr="00F463CA" w:rsidRDefault="009140BD" w:rsidP="00733F75">
      <w:pPr>
        <w:rPr>
          <w:rFonts w:asciiTheme="majorHAnsi" w:hAnsiTheme="majorHAnsi" w:cstheme="majorHAnsi"/>
          <w:sz w:val="18"/>
          <w:szCs w:val="18"/>
        </w:rPr>
        <w:sectPr w:rsidR="009140BD" w:rsidRPr="00F463CA" w:rsidSect="00336B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XSpec="center" w:tblpY="1"/>
        <w:tblOverlap w:val="never"/>
        <w:tblW w:w="14395" w:type="dxa"/>
        <w:jc w:val="center"/>
        <w:tblLook w:val="04A0" w:firstRow="1" w:lastRow="0" w:firstColumn="1" w:lastColumn="0" w:noHBand="0" w:noVBand="1"/>
      </w:tblPr>
      <w:tblGrid>
        <w:gridCol w:w="1558"/>
        <w:gridCol w:w="3027"/>
        <w:gridCol w:w="5040"/>
        <w:gridCol w:w="4770"/>
      </w:tblGrid>
      <w:tr w:rsidR="00215009" w:rsidRPr="00F463CA" w14:paraId="2912B8AE" w14:textId="77777777" w:rsidTr="00FD677B">
        <w:trPr>
          <w:trHeight w:val="170"/>
          <w:jc w:val="center"/>
        </w:trPr>
        <w:tc>
          <w:tcPr>
            <w:tcW w:w="1558" w:type="dxa"/>
          </w:tcPr>
          <w:p w14:paraId="12886EF7" w14:textId="77777777" w:rsidR="00215009" w:rsidRPr="00F463CA" w:rsidRDefault="00215009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Role</w:t>
            </w:r>
          </w:p>
        </w:tc>
        <w:tc>
          <w:tcPr>
            <w:tcW w:w="3027" w:type="dxa"/>
          </w:tcPr>
          <w:p w14:paraId="1715AE55" w14:textId="77777777" w:rsidR="00215009" w:rsidRPr="00F463CA" w:rsidRDefault="00215009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Role Description</w:t>
            </w:r>
          </w:p>
        </w:tc>
        <w:tc>
          <w:tcPr>
            <w:tcW w:w="5040" w:type="dxa"/>
          </w:tcPr>
          <w:p w14:paraId="35CDB9FD" w14:textId="77777777" w:rsidR="00215009" w:rsidRPr="00F463CA" w:rsidRDefault="00691E3D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Responsibility</w:t>
            </w:r>
          </w:p>
        </w:tc>
        <w:tc>
          <w:tcPr>
            <w:tcW w:w="4770" w:type="dxa"/>
          </w:tcPr>
          <w:p w14:paraId="3064E0D9" w14:textId="77777777" w:rsidR="00215009" w:rsidRPr="00F463CA" w:rsidRDefault="00140634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Tasks to Complete</w:t>
            </w:r>
          </w:p>
        </w:tc>
      </w:tr>
      <w:tr w:rsidR="00733F75" w:rsidRPr="00F463CA" w14:paraId="4B2C3C81" w14:textId="77777777" w:rsidTr="00FD677B">
        <w:trPr>
          <w:trHeight w:val="10298"/>
          <w:jc w:val="center"/>
        </w:trPr>
        <w:tc>
          <w:tcPr>
            <w:tcW w:w="1558" w:type="dxa"/>
          </w:tcPr>
          <w:p w14:paraId="4E43A880" w14:textId="77777777" w:rsidR="0006543C" w:rsidRPr="00F463CA" w:rsidRDefault="00733F7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Primary Effort Coordinator</w:t>
            </w:r>
            <w:r w:rsidR="0006543C" w:rsidRPr="00F463CA">
              <w:rPr>
                <w:rFonts w:asciiTheme="majorHAnsi" w:hAnsiTheme="majorHAnsi" w:cstheme="majorHAnsi"/>
                <w:sz w:val="18"/>
                <w:szCs w:val="18"/>
              </w:rPr>
              <w:t>s</w:t>
            </w:r>
          </w:p>
        </w:tc>
        <w:tc>
          <w:tcPr>
            <w:tcW w:w="3027" w:type="dxa"/>
          </w:tcPr>
          <w:p w14:paraId="14A426AC" w14:textId="77777777" w:rsidR="00733F75" w:rsidRPr="008B544F" w:rsidRDefault="00733F7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Individuals in the department who are responsible for all effort reporting within their designated departments.  </w:t>
            </w:r>
          </w:p>
          <w:p w14:paraId="786C44BC" w14:textId="77777777" w:rsidR="00733F75" w:rsidRPr="008B544F" w:rsidRDefault="00733F7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95DF99" w14:textId="77777777" w:rsidR="00733F75" w:rsidRPr="008B544F" w:rsidRDefault="00733F75" w:rsidP="00FD677B">
            <w:pPr>
              <w:ind w:right="-144"/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b/>
                <w:sz w:val="18"/>
                <w:szCs w:val="18"/>
              </w:rPr>
              <w:t>NOTE: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There can be ONLY one Primary Effort Coordinator </w:t>
            </w:r>
            <w:r w:rsidR="002F4FA2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(PEC) 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for a department.  However, the Primary Effort Coordinator can identify a backup Primary Effort Coordinator when necessary.  </w:t>
            </w:r>
            <w:r w:rsidR="00E66F50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To assign a back-up, the PEC will complete an </w:t>
            </w:r>
            <w:hyperlink r:id="rId8" w:history="1">
              <w:r w:rsidR="00E66F50" w:rsidRPr="008B544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ECC access application</w:t>
              </w:r>
            </w:hyperlink>
            <w:r w:rsidR="00E66F50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for the individual</w:t>
            </w:r>
            <w:r w:rsidR="00E116F7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and submit the application to (</w:t>
            </w:r>
            <w:r w:rsidR="00E116F7" w:rsidRPr="008B544F">
              <w:rPr>
                <w:rFonts w:asciiTheme="majorHAnsi" w:hAnsiTheme="majorHAnsi" w:cstheme="majorHAnsi"/>
                <w:b/>
                <w:color w:val="C45911" w:themeColor="accent2" w:themeShade="BF"/>
                <w:sz w:val="18"/>
                <w:szCs w:val="18"/>
              </w:rPr>
              <w:t>effort@uth.tmc.edu</w:t>
            </w:r>
            <w:r w:rsidR="00E116F7" w:rsidRPr="008B544F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14:paraId="4CAFE1CC" w14:textId="77777777" w:rsidR="00B13A1C" w:rsidRPr="008B544F" w:rsidRDefault="00B13A1C" w:rsidP="00FD677B">
            <w:pPr>
              <w:ind w:right="-144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763AA2" w14:textId="77777777" w:rsidR="00B13A1C" w:rsidRPr="008B544F" w:rsidRDefault="00B13A1C" w:rsidP="00FD677B">
            <w:pPr>
              <w:ind w:right="-144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B4256D" w14:textId="77777777" w:rsidR="00B13A1C" w:rsidRPr="008B544F" w:rsidRDefault="00B13A1C" w:rsidP="00FD677B">
            <w:pPr>
              <w:ind w:right="-14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40" w:type="dxa"/>
          </w:tcPr>
          <w:p w14:paraId="060CB8DE" w14:textId="77777777" w:rsidR="00E16CA2" w:rsidRPr="008B544F" w:rsidRDefault="00C47DFF" w:rsidP="00B13A1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b/>
                <w:sz w:val="18"/>
                <w:szCs w:val="18"/>
              </w:rPr>
              <w:t>Routinely (at least weekly)</w:t>
            </w:r>
          </w:p>
          <w:p w14:paraId="311CD033" w14:textId="77777777" w:rsidR="00ED47EB" w:rsidRPr="008B544F" w:rsidRDefault="00ED47EB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Understand and apply HOOP Policy 93</w:t>
            </w:r>
          </w:p>
          <w:p w14:paraId="396C0D2B" w14:textId="77777777" w:rsidR="004623BA" w:rsidRPr="008B544F" w:rsidRDefault="008A1DA7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Remain 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updated on all individuals with the role </w:t>
            </w:r>
            <w:r w:rsidR="00C47DFF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of 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>Primary</w:t>
            </w:r>
            <w:r w:rsidR="00C47DFF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Individual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and Supporting Individual in their department(s). </w:t>
            </w:r>
          </w:p>
          <w:p w14:paraId="0141FFE5" w14:textId="77777777" w:rsidR="00733F75" w:rsidRPr="008B544F" w:rsidRDefault="004623BA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Monitor 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>and track effort commitment, salary distribution and cost sharing on all sponsored projects</w:t>
            </w:r>
            <w:r w:rsidR="00BB1828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for their department.</w:t>
            </w:r>
          </w:p>
          <w:p w14:paraId="5C029C6D" w14:textId="77777777" w:rsidR="00733F75" w:rsidRPr="008B544F" w:rsidRDefault="00C47DFF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dentify 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and track 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>all individual’s w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hose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Institutional Base Salary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is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greater than the Sponsor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’s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allowed salary cap (i.e. </w:t>
            </w:r>
            <w:hyperlink r:id="rId9" w:history="1">
              <w:r w:rsidR="00733F75" w:rsidRPr="00C20219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NIH</w:t>
              </w:r>
            </w:hyperlink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>, CPRIT</w:t>
            </w:r>
            <w:r w:rsidR="0098787F" w:rsidRPr="008B544F">
              <w:rPr>
                <w:rFonts w:asciiTheme="majorHAnsi" w:hAnsiTheme="majorHAnsi" w:cstheme="majorHAnsi"/>
                <w:sz w:val="18"/>
                <w:szCs w:val="18"/>
              </w:rPr>
              <w:t>, etc.</w:t>
            </w:r>
            <w:r w:rsidR="00733F75" w:rsidRPr="008B544F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  <w:p w14:paraId="6B37F031" w14:textId="77777777" w:rsidR="00733F75" w:rsidRPr="008B544F" w:rsidRDefault="00733F75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Monitor and </w:t>
            </w:r>
            <w:r w:rsidR="00C47DFF" w:rsidRPr="008B544F">
              <w:rPr>
                <w:rFonts w:asciiTheme="majorHAnsi" w:hAnsiTheme="majorHAnsi" w:cstheme="majorHAnsi"/>
                <w:b/>
                <w:sz w:val="18"/>
                <w:szCs w:val="18"/>
              </w:rPr>
              <w:t>approve</w:t>
            </w:r>
            <w:r w:rsidRPr="008B544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salary </w:t>
            </w:r>
            <w:r w:rsidR="00C47DFF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distribution charges 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on </w:t>
            </w:r>
            <w:r w:rsidR="00C47DFF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all sponsored projects. 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This should include approval of any changes to salary based on effort commitment.</w:t>
            </w:r>
          </w:p>
          <w:p w14:paraId="5C067100" w14:textId="77777777" w:rsidR="00B704AC" w:rsidRPr="008B544F" w:rsidRDefault="00733F75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Review salary charges with PI/faculty member and post any salary distribution updates and/or corrections in a timely manner </w:t>
            </w:r>
          </w:p>
          <w:p w14:paraId="7E29E7BC" w14:textId="77777777" w:rsidR="00C47DFF" w:rsidRPr="008B544F" w:rsidRDefault="00C47DFF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b/>
                <w:sz w:val="18"/>
                <w:szCs w:val="18"/>
              </w:rPr>
              <w:t>Pre-Review Period</w:t>
            </w:r>
          </w:p>
          <w:p w14:paraId="28AC163A" w14:textId="77777777" w:rsidR="00E87C32" w:rsidRPr="00E87C32" w:rsidRDefault="00E87C32" w:rsidP="00E87C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DD7D85" w14:textId="77777777" w:rsidR="00715BBF" w:rsidRPr="008B544F" w:rsidRDefault="00715BBF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Review </w:t>
            </w:r>
            <w:r w:rsidR="00ED47EB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the 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Effort Statement for </w:t>
            </w:r>
            <w:r w:rsidR="00ED47EB" w:rsidRPr="008B544F">
              <w:rPr>
                <w:rFonts w:asciiTheme="majorHAnsi" w:hAnsiTheme="majorHAnsi" w:cstheme="majorHAnsi"/>
                <w:sz w:val="18"/>
                <w:szCs w:val="18"/>
              </w:rPr>
              <w:t>EACH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Primary Individual in their department</w:t>
            </w:r>
            <w:r w:rsidR="00465AA8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to e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nsure Effort Commitment, Cost Share and Salary Distribution are correct </w:t>
            </w:r>
          </w:p>
          <w:p w14:paraId="082537FA" w14:textId="77777777" w:rsidR="00465AA8" w:rsidRDefault="00465AA8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Review </w:t>
            </w:r>
            <w:r w:rsidR="00ED47EB" w:rsidRPr="008B544F">
              <w:rPr>
                <w:rFonts w:asciiTheme="majorHAnsi" w:hAnsiTheme="majorHAnsi" w:cstheme="majorHAnsi"/>
                <w:sz w:val="18"/>
                <w:szCs w:val="18"/>
              </w:rPr>
              <w:t>the Project S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tatement for </w:t>
            </w:r>
            <w:r w:rsidR="00ED47EB" w:rsidRPr="008B544F">
              <w:rPr>
                <w:rFonts w:asciiTheme="majorHAnsi" w:hAnsiTheme="majorHAnsi" w:cstheme="majorHAnsi"/>
                <w:sz w:val="18"/>
                <w:szCs w:val="18"/>
              </w:rPr>
              <w:t>EACH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Supporting Individual in their department to ensure </w:t>
            </w:r>
            <w:r w:rsidR="00ED47EB" w:rsidRPr="008B544F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alary Distribution </w:t>
            </w:r>
            <w:r w:rsidR="00ED47EB"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is 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correct </w:t>
            </w:r>
          </w:p>
          <w:p w14:paraId="16E13196" w14:textId="77777777" w:rsidR="00E87C32" w:rsidRPr="008B544F" w:rsidRDefault="00E87C32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For more details, please view our </w:t>
            </w:r>
            <w:hyperlink r:id="rId10" w:history="1">
              <w:r w:rsidRPr="00E87C32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Pre-Review Guide</w:t>
              </w:r>
            </w:hyperlink>
          </w:p>
          <w:p w14:paraId="58381112" w14:textId="77777777" w:rsidR="00465AA8" w:rsidRPr="008B544F" w:rsidRDefault="00465AA8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9F3C79C" w14:textId="77777777" w:rsidR="00C47DFF" w:rsidRPr="008B544F" w:rsidRDefault="00C47DFF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b/>
                <w:sz w:val="18"/>
                <w:szCs w:val="18"/>
              </w:rPr>
              <w:t>During Effort Period</w:t>
            </w:r>
          </w:p>
          <w:p w14:paraId="183DB757" w14:textId="77777777" w:rsidR="00465AA8" w:rsidRPr="008B544F" w:rsidRDefault="00465AA8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2AF4E43" w14:textId="77777777" w:rsidR="00C47DFF" w:rsidRPr="008B544F" w:rsidRDefault="00C47DFF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Ensure salary aligns with effort certification </w:t>
            </w:r>
            <w:r w:rsidR="00715BBF" w:rsidRPr="008B544F">
              <w:rPr>
                <w:rFonts w:asciiTheme="majorHAnsi" w:hAnsiTheme="majorHAnsi" w:cstheme="majorHAnsi"/>
                <w:sz w:val="18"/>
                <w:szCs w:val="18"/>
              </w:rPr>
              <w:t>as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 the effort </w:t>
            </w:r>
            <w:r w:rsidR="00715BBF" w:rsidRPr="008B544F">
              <w:rPr>
                <w:rFonts w:asciiTheme="majorHAnsi" w:hAnsiTheme="majorHAnsi" w:cstheme="majorHAnsi"/>
                <w:sz w:val="18"/>
                <w:szCs w:val="18"/>
              </w:rPr>
              <w:t>statements are certified</w:t>
            </w:r>
          </w:p>
          <w:p w14:paraId="6A5A2905" w14:textId="77777777" w:rsidR="008C45EB" w:rsidRPr="008B544F" w:rsidRDefault="008C45EB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Ensure effort certification is complete on time</w:t>
            </w:r>
          </w:p>
          <w:p w14:paraId="1FE48600" w14:textId="77777777" w:rsidR="00C47DFF" w:rsidRPr="008B544F" w:rsidRDefault="00C47DFF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Review and process effort certification </w:t>
            </w:r>
            <w:r w:rsidR="008C45EB" w:rsidRPr="008B544F">
              <w:rPr>
                <w:rFonts w:asciiTheme="majorHAnsi" w:hAnsiTheme="majorHAnsi" w:cstheme="majorHAnsi"/>
                <w:sz w:val="18"/>
                <w:szCs w:val="18"/>
              </w:rPr>
              <w:t>Statemen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 xml:space="preserve">ts </w:t>
            </w:r>
            <w:r w:rsidR="00715BBF" w:rsidRPr="008B544F">
              <w:rPr>
                <w:rFonts w:asciiTheme="majorHAnsi" w:hAnsiTheme="majorHAnsi" w:cstheme="majorHAnsi"/>
                <w:sz w:val="18"/>
                <w:szCs w:val="18"/>
              </w:rPr>
              <w:t>in a timely manner (</w:t>
            </w:r>
            <w:hyperlink r:id="rId11" w:history="1">
              <w:r w:rsidR="00BC4F28" w:rsidRPr="008B544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Effort Coordinator Pre-Review Guide</w:t>
              </w:r>
            </w:hyperlink>
            <w:r w:rsidR="00715BBF" w:rsidRPr="008B544F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1CF57808" w14:textId="77777777" w:rsidR="00465AA8" w:rsidRPr="008B544F" w:rsidRDefault="00465AA8" w:rsidP="00FD677B">
            <w:pPr>
              <w:pStyle w:val="ListParagraph"/>
              <w:ind w:left="288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0A9011" w14:textId="77777777" w:rsidR="005A2A65" w:rsidRPr="008B544F" w:rsidRDefault="00715BBF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b/>
                <w:sz w:val="18"/>
                <w:szCs w:val="18"/>
              </w:rPr>
              <w:t>After Certification</w:t>
            </w:r>
            <w:r w:rsidR="005A2A65" w:rsidRPr="008B544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Period</w:t>
            </w:r>
          </w:p>
          <w:p w14:paraId="0045A8C2" w14:textId="77777777" w:rsidR="00465AA8" w:rsidRPr="008B544F" w:rsidRDefault="00465AA8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B67C005" w14:textId="77777777" w:rsidR="005A2A65" w:rsidRPr="008B544F" w:rsidRDefault="00465AA8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Ensure salary aligns with effort</w:t>
            </w:r>
          </w:p>
          <w:p w14:paraId="263E335F" w14:textId="77777777" w:rsidR="009140BD" w:rsidRPr="008B544F" w:rsidRDefault="009140BD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Ensure sponsor salary cap requirements are met (</w:t>
            </w:r>
            <w:hyperlink r:id="rId12" w:history="1">
              <w:r w:rsidR="00C20219" w:rsidRPr="00C20219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NIH</w:t>
              </w:r>
            </w:hyperlink>
            <w:r w:rsidR="008B544F">
              <w:rPr>
                <w:rFonts w:asciiTheme="majorHAnsi" w:hAnsiTheme="majorHAnsi" w:cstheme="majorHAnsi"/>
                <w:sz w:val="18"/>
                <w:szCs w:val="18"/>
              </w:rPr>
              <w:t>, CPRIT, etc.</w:t>
            </w: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3B45842B" w14:textId="77777777" w:rsidR="00465AA8" w:rsidRPr="008B544F" w:rsidRDefault="00465AA8" w:rsidP="00FD677B">
            <w:pPr>
              <w:pStyle w:val="ListParagraph"/>
              <w:ind w:left="288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EC26D8" w14:textId="77777777" w:rsidR="00C47DFF" w:rsidRPr="008B544F" w:rsidRDefault="00C47DFF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b/>
                <w:sz w:val="18"/>
                <w:szCs w:val="18"/>
              </w:rPr>
              <w:t>As Needed</w:t>
            </w:r>
          </w:p>
          <w:p w14:paraId="229B1E10" w14:textId="77777777" w:rsidR="00C47DFF" w:rsidRPr="008B544F" w:rsidRDefault="00733F75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B544F">
              <w:rPr>
                <w:rFonts w:asciiTheme="majorHAnsi" w:hAnsiTheme="majorHAnsi" w:cstheme="majorHAnsi"/>
                <w:sz w:val="18"/>
                <w:szCs w:val="18"/>
              </w:rPr>
              <w:t>Communicate to SPA’s Preaward team any changes that require sponsor notification and/or approval</w:t>
            </w:r>
          </w:p>
        </w:tc>
        <w:tc>
          <w:tcPr>
            <w:tcW w:w="4770" w:type="dxa"/>
          </w:tcPr>
          <w:p w14:paraId="33DD0D60" w14:textId="77777777" w:rsidR="00733F75" w:rsidRPr="0087221F" w:rsidRDefault="00733F75" w:rsidP="00B13A1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B13A1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8C45EB" w:rsidRPr="00B13A1C">
              <w:rPr>
                <w:rFonts w:asciiTheme="majorHAnsi" w:hAnsiTheme="majorHAnsi" w:cstheme="majorHAnsi"/>
                <w:sz w:val="18"/>
                <w:szCs w:val="18"/>
              </w:rPr>
              <w:t xml:space="preserve">Complete </w:t>
            </w:r>
            <w:r w:rsidRPr="00B13A1C">
              <w:rPr>
                <w:rFonts w:asciiTheme="majorHAnsi" w:hAnsiTheme="majorHAnsi" w:cstheme="majorHAnsi"/>
                <w:sz w:val="18"/>
                <w:szCs w:val="18"/>
              </w:rPr>
              <w:t xml:space="preserve">Mandatory training </w:t>
            </w:r>
            <w:r w:rsidR="008C45EB" w:rsidRPr="00B13A1C">
              <w:rPr>
                <w:rFonts w:asciiTheme="majorHAnsi" w:hAnsiTheme="majorHAnsi" w:cstheme="majorHAnsi"/>
                <w:sz w:val="18"/>
                <w:szCs w:val="18"/>
              </w:rPr>
              <w:t>for access and use of ECC</w:t>
            </w:r>
            <w:r w:rsidR="009140BD" w:rsidRPr="00B13A1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140BD" w:rsidRPr="0087221F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hyperlink r:id="rId13" w:history="1">
              <w:r w:rsidR="0087221F" w:rsidRPr="0087221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Learn2Succeed Link</w:t>
              </w:r>
            </w:hyperlink>
            <w:r w:rsidR="009140BD" w:rsidRPr="0087221F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4256F33E" w14:textId="77777777" w:rsidR="009140BD" w:rsidRPr="00F463CA" w:rsidRDefault="009140BD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BE636C" w14:textId="77777777" w:rsidR="008C45EB" w:rsidRPr="00FD677B" w:rsidRDefault="00E16CA2" w:rsidP="00FD677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Complete PeopleSoft HCM Administrative Systems Training </w:t>
            </w:r>
            <w:r w:rsidR="001C7C1A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hyperlink r:id="rId14" w:history="1">
              <w:r w:rsidR="001C7C1A" w:rsidRPr="001C7C1A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Link</w:t>
              </w:r>
            </w:hyperlink>
            <w:r w:rsidR="001C7C1A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4EF8EE2A" w14:textId="77777777" w:rsidR="00FD677B" w:rsidRDefault="00FD677B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D5A97C" w14:textId="77777777" w:rsidR="00A66153" w:rsidRPr="00FD677B" w:rsidRDefault="00A66153" w:rsidP="00FD677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>Monitor and maintain effort commitment levels.</w:t>
            </w:r>
          </w:p>
          <w:p w14:paraId="25D3C6ED" w14:textId="77777777" w:rsidR="009140BD" w:rsidRPr="00F463CA" w:rsidRDefault="009140BD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833383" w14:textId="77777777" w:rsidR="00733F75" w:rsidRPr="00FD677B" w:rsidRDefault="003161DE" w:rsidP="00FD677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>Add Cost Sharing as appropriate for all Primary Individuals</w:t>
            </w:r>
            <w:r w:rsidR="00E16CA2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0573C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hyperlink r:id="rId15" w:history="1">
              <w:r w:rsidR="00E0573C" w:rsidRPr="00E0573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HOOP 75</w:t>
              </w:r>
            </w:hyperlink>
            <w:r w:rsidR="00E16CA2" w:rsidRPr="00FD677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6C5BF204" w14:textId="77777777" w:rsidR="009140BD" w:rsidRPr="00F463CA" w:rsidRDefault="009140BD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6083F5" w14:textId="77777777" w:rsidR="00E16CA2" w:rsidRPr="00FD677B" w:rsidRDefault="00A66153" w:rsidP="00FD677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Coordinate </w:t>
            </w:r>
            <w:r w:rsidR="00E16CA2" w:rsidRPr="00FD677B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="00733F75" w:rsidRPr="00FD677B">
              <w:rPr>
                <w:rFonts w:asciiTheme="majorHAnsi" w:hAnsiTheme="majorHAnsi" w:cstheme="majorHAnsi"/>
                <w:sz w:val="18"/>
                <w:szCs w:val="18"/>
              </w:rPr>
              <w:t>etro</w:t>
            </w:r>
            <w:r w:rsidR="00E16CA2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active salary </w:t>
            </w: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>adjustments to ensure all adjustments are complete within 45 days after effort certification period ends.</w:t>
            </w:r>
          </w:p>
          <w:p w14:paraId="77B31542" w14:textId="77777777" w:rsidR="009140BD" w:rsidRPr="00F463CA" w:rsidRDefault="009140BD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437B37" w14:textId="77777777" w:rsidR="00733F75" w:rsidRPr="00FD677B" w:rsidRDefault="009140BD" w:rsidP="00FD677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>Confirm all sponsor</w:t>
            </w:r>
            <w:r w:rsidR="00733F75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 salary cap </w:t>
            </w: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>requirements are</w:t>
            </w:r>
            <w:r w:rsidR="00733F75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>met based on certified effort (</w:t>
            </w:r>
            <w:hyperlink r:id="rId16" w:history="1">
              <w:r w:rsidR="00C20219" w:rsidRPr="00C20219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NIH</w:t>
              </w:r>
            </w:hyperlink>
            <w:r w:rsidR="008B544F">
              <w:rPr>
                <w:rFonts w:asciiTheme="majorHAnsi" w:hAnsiTheme="majorHAnsi" w:cstheme="majorHAnsi"/>
                <w:sz w:val="18"/>
                <w:szCs w:val="18"/>
              </w:rPr>
              <w:t>, CPRIT, etc.</w:t>
            </w: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33DAB8BC" w14:textId="77777777" w:rsidR="009140BD" w:rsidRPr="00F463CA" w:rsidRDefault="009140BD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EDD046" w14:textId="77777777" w:rsidR="008C45EB" w:rsidRPr="00FD677B" w:rsidRDefault="00733F75" w:rsidP="00FD677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PEC's </w:t>
            </w:r>
            <w:r w:rsidR="008C45EB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modify and </w:t>
            </w:r>
            <w:r w:rsidR="008B544F">
              <w:rPr>
                <w:rFonts w:asciiTheme="majorHAnsi" w:hAnsiTheme="majorHAnsi" w:cstheme="majorHAnsi"/>
                <w:sz w:val="18"/>
                <w:szCs w:val="18"/>
              </w:rPr>
              <w:t>verify all</w:t>
            </w: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 non-sponsored </w:t>
            </w:r>
            <w:r w:rsidR="008C45EB" w:rsidRPr="00FD677B">
              <w:rPr>
                <w:rFonts w:asciiTheme="majorHAnsi" w:hAnsiTheme="majorHAnsi" w:cstheme="majorHAnsi"/>
                <w:sz w:val="18"/>
                <w:szCs w:val="18"/>
              </w:rPr>
              <w:t>projects</w:t>
            </w: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 tied to the</w:t>
            </w:r>
            <w:r w:rsidR="008C45EB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ir </w:t>
            </w: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>department</w:t>
            </w:r>
          </w:p>
          <w:p w14:paraId="065BEE51" w14:textId="77777777" w:rsidR="009140BD" w:rsidRPr="00F463CA" w:rsidRDefault="009140BD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D24796" w14:textId="77777777" w:rsidR="00733F75" w:rsidRPr="00FD677B" w:rsidRDefault="00733F75" w:rsidP="00FD677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Departments can </w:t>
            </w:r>
            <w:r w:rsidR="002F4FA2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identify </w:t>
            </w:r>
            <w:r w:rsidRPr="00FD677B">
              <w:rPr>
                <w:rFonts w:asciiTheme="majorHAnsi" w:hAnsiTheme="majorHAnsi" w:cstheme="majorHAnsi"/>
                <w:sz w:val="18"/>
                <w:szCs w:val="18"/>
              </w:rPr>
              <w:t>more than one primary effort coordinator</w:t>
            </w:r>
            <w:r w:rsidR="002F4FA2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 to serve as backup for the PEC in ECC</w:t>
            </w:r>
            <w:r w:rsidR="008C45EB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 when the PEC is absent.</w:t>
            </w:r>
            <w:r w:rsidR="00B234B9" w:rsidRPr="00FD677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110F4C6" w14:textId="77777777" w:rsidR="00B13A1C" w:rsidRDefault="00B13A1C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8B1B02" w14:textId="77777777" w:rsidR="00B13A1C" w:rsidRDefault="00B13A1C" w:rsidP="00FD677B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D97F5B7" w14:textId="77777777" w:rsidR="00B234B9" w:rsidRPr="00F463CA" w:rsidRDefault="00B13A1C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13A1C">
              <w:rPr>
                <w:rFonts w:asciiTheme="majorHAnsi" w:hAnsiTheme="majorHAnsi" w:cstheme="majorHAnsi"/>
                <w:b/>
                <w:sz w:val="18"/>
                <w:szCs w:val="18"/>
              </w:rPr>
              <w:t>NOTE: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234B9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PEC identify ECs in </w:t>
            </w:r>
            <w:r w:rsidR="004623BA" w:rsidRPr="00F463CA">
              <w:rPr>
                <w:rFonts w:asciiTheme="majorHAnsi" w:hAnsiTheme="majorHAnsi" w:cstheme="majorHAnsi"/>
                <w:sz w:val="18"/>
                <w:szCs w:val="18"/>
              </w:rPr>
              <w:t>their</w:t>
            </w:r>
            <w:r w:rsidR="00B234B9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department coordinators</w:t>
            </w:r>
            <w:r w:rsidR="00D977A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9BA4D18" w14:textId="77777777" w:rsidR="00733F75" w:rsidRPr="00F463CA" w:rsidRDefault="00733F7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B19EFD6" w14:textId="77777777" w:rsidR="009140BD" w:rsidRPr="00F463CA" w:rsidRDefault="009140BD" w:rsidP="00733F75">
      <w:pPr>
        <w:rPr>
          <w:rFonts w:asciiTheme="majorHAnsi" w:hAnsiTheme="majorHAnsi" w:cstheme="majorHAnsi"/>
          <w:sz w:val="18"/>
          <w:szCs w:val="18"/>
        </w:rPr>
        <w:sectPr w:rsidR="009140BD" w:rsidRPr="00F463CA" w:rsidSect="009140B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XSpec="center" w:tblpY="1"/>
        <w:tblOverlap w:val="never"/>
        <w:tblW w:w="11065" w:type="dxa"/>
        <w:jc w:val="center"/>
        <w:tblLook w:val="04A0" w:firstRow="1" w:lastRow="0" w:firstColumn="1" w:lastColumn="0" w:noHBand="0" w:noVBand="1"/>
      </w:tblPr>
      <w:tblGrid>
        <w:gridCol w:w="1558"/>
        <w:gridCol w:w="3027"/>
        <w:gridCol w:w="3780"/>
        <w:gridCol w:w="2700"/>
      </w:tblGrid>
      <w:tr w:rsidR="0006543C" w:rsidRPr="00F463CA" w14:paraId="043DA86B" w14:textId="77777777" w:rsidTr="00FD677B">
        <w:trPr>
          <w:trHeight w:val="260"/>
          <w:jc w:val="center"/>
        </w:trPr>
        <w:tc>
          <w:tcPr>
            <w:tcW w:w="1558" w:type="dxa"/>
          </w:tcPr>
          <w:p w14:paraId="2D12CFD1" w14:textId="77777777" w:rsidR="0006543C" w:rsidRPr="00F463CA" w:rsidRDefault="0006543C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Roles</w:t>
            </w:r>
          </w:p>
        </w:tc>
        <w:tc>
          <w:tcPr>
            <w:tcW w:w="3027" w:type="dxa"/>
          </w:tcPr>
          <w:p w14:paraId="45BB4E21" w14:textId="77777777" w:rsidR="0006543C" w:rsidRPr="00F463CA" w:rsidRDefault="0006543C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Role Description</w:t>
            </w:r>
          </w:p>
        </w:tc>
        <w:tc>
          <w:tcPr>
            <w:tcW w:w="3780" w:type="dxa"/>
          </w:tcPr>
          <w:p w14:paraId="3DB13396" w14:textId="77777777" w:rsidR="0006543C" w:rsidRPr="00F463CA" w:rsidRDefault="0006543C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Responsibility</w:t>
            </w:r>
          </w:p>
        </w:tc>
        <w:tc>
          <w:tcPr>
            <w:tcW w:w="2700" w:type="dxa"/>
          </w:tcPr>
          <w:p w14:paraId="5214D509" w14:textId="77777777" w:rsidR="0006543C" w:rsidRPr="00F463CA" w:rsidRDefault="0006543C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Tasks</w:t>
            </w:r>
            <w:r w:rsidR="00E30C75"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to Complete</w:t>
            </w:r>
          </w:p>
        </w:tc>
      </w:tr>
      <w:tr w:rsidR="00733F75" w:rsidRPr="00F463CA" w14:paraId="2479A69E" w14:textId="77777777" w:rsidTr="00F81616">
        <w:trPr>
          <w:trHeight w:val="6020"/>
          <w:jc w:val="center"/>
        </w:trPr>
        <w:tc>
          <w:tcPr>
            <w:tcW w:w="1558" w:type="dxa"/>
          </w:tcPr>
          <w:p w14:paraId="4C72C4CC" w14:textId="77777777" w:rsidR="00733F75" w:rsidRPr="00F463CA" w:rsidRDefault="00733F7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Effort Coordinator(s):</w:t>
            </w:r>
          </w:p>
        </w:tc>
        <w:tc>
          <w:tcPr>
            <w:tcW w:w="3027" w:type="dxa"/>
          </w:tcPr>
          <w:p w14:paraId="69F49B3A" w14:textId="77777777" w:rsidR="00733F75" w:rsidRPr="00F463CA" w:rsidRDefault="0006543C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Individuals in the department </w:t>
            </w:r>
            <w:r w:rsidR="00162B25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that 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assist Primary Effort coordinator</w:t>
            </w:r>
            <w:r w:rsidR="00162B25" w:rsidRPr="00F463CA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on all effort reporting </w:t>
            </w:r>
            <w:r w:rsidR="00162B25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responsibilities 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within their designated departments</w:t>
            </w:r>
            <w:r w:rsidR="008B544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780" w:type="dxa"/>
          </w:tcPr>
          <w:p w14:paraId="67F3E718" w14:textId="77777777" w:rsidR="0006543C" w:rsidRPr="007244F4" w:rsidRDefault="0006543C" w:rsidP="007244F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244F4">
              <w:rPr>
                <w:rFonts w:asciiTheme="majorHAnsi" w:hAnsiTheme="majorHAnsi" w:cstheme="majorHAnsi"/>
                <w:sz w:val="18"/>
                <w:szCs w:val="18"/>
              </w:rPr>
              <w:t>Understand and apply HOOP Policy 93</w:t>
            </w:r>
          </w:p>
          <w:p w14:paraId="12F57A8F" w14:textId="77777777" w:rsidR="0006543C" w:rsidRPr="00F463CA" w:rsidRDefault="00A00E2B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Assist Primary Individuals with questions related to effort on their projects</w:t>
            </w:r>
            <w:r w:rsidR="0006543C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E6B7692" w14:textId="77777777" w:rsidR="0006543C" w:rsidRPr="00F463CA" w:rsidRDefault="00A00E2B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Facilitate salary </w:t>
            </w:r>
            <w:r w:rsidR="00162B25" w:rsidRPr="00F463CA">
              <w:rPr>
                <w:rFonts w:asciiTheme="majorHAnsi" w:hAnsiTheme="majorHAnsi" w:cstheme="majorHAnsi"/>
                <w:sz w:val="18"/>
                <w:szCs w:val="18"/>
              </w:rPr>
              <w:t>distribution updates and/or corrections in a timely manner</w:t>
            </w:r>
          </w:p>
          <w:p w14:paraId="2BB0A8D7" w14:textId="77777777" w:rsidR="0006543C" w:rsidRPr="00F463CA" w:rsidRDefault="006C6945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Assist Primary Effort Coordinator on any follow up actions throughout the effort period including salary cost transfers, commitment or cost share changes.</w:t>
            </w:r>
          </w:p>
          <w:p w14:paraId="334A05DD" w14:textId="77777777" w:rsidR="0006543C" w:rsidRPr="00F463CA" w:rsidRDefault="00162B25" w:rsidP="00FD677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Assist Primary Effort Coordinators to e</w:t>
            </w:r>
            <w:r w:rsidR="006C6945" w:rsidRPr="00F463CA">
              <w:rPr>
                <w:rFonts w:asciiTheme="majorHAnsi" w:hAnsiTheme="majorHAnsi" w:cstheme="majorHAnsi"/>
                <w:sz w:val="18"/>
                <w:szCs w:val="18"/>
              </w:rPr>
              <w:t>nsure all effort cards are certified on time and appropriately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through the effort certification period</w:t>
            </w:r>
          </w:p>
          <w:p w14:paraId="39CFCD3F" w14:textId="77777777" w:rsidR="006C6945" w:rsidRPr="00F463CA" w:rsidRDefault="006C6945" w:rsidP="00FD677B">
            <w:pPr>
              <w:pStyle w:val="ListParagraph"/>
              <w:ind w:left="288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01BB2E" w14:textId="77777777" w:rsidR="00BB1828" w:rsidRPr="00F463CA" w:rsidRDefault="00BB1828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176D6FD" w14:textId="77777777" w:rsidR="006C6945" w:rsidRPr="0087221F" w:rsidRDefault="006C6945" w:rsidP="00B13A1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B13A1C">
              <w:rPr>
                <w:rFonts w:asciiTheme="majorHAnsi" w:hAnsiTheme="majorHAnsi" w:cstheme="majorHAnsi"/>
                <w:sz w:val="18"/>
                <w:szCs w:val="18"/>
              </w:rPr>
              <w:t>Complete Mandatory training for access and use of ECC (</w:t>
            </w:r>
            <w:hyperlink r:id="rId17" w:history="1">
              <w:r w:rsidR="0087221F" w:rsidRPr="0087221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Learn2Succeed</w:t>
              </w:r>
            </w:hyperlink>
            <w:r w:rsidRPr="0087221F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47226461" w14:textId="77777777" w:rsidR="006C6945" w:rsidRPr="00F463CA" w:rsidRDefault="006C694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71A71F" w14:textId="77777777" w:rsidR="006C6945" w:rsidRPr="00B13A1C" w:rsidRDefault="006C6945" w:rsidP="00B13A1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B13A1C">
              <w:rPr>
                <w:rFonts w:asciiTheme="majorHAnsi" w:hAnsiTheme="majorHAnsi" w:cstheme="majorHAnsi"/>
                <w:sz w:val="18"/>
                <w:szCs w:val="18"/>
              </w:rPr>
              <w:t>Complete PeopleSoft HCM Administrative Systems Training (</w:t>
            </w:r>
            <w:hyperlink r:id="rId18" w:history="1">
              <w:r w:rsidR="007244F4" w:rsidRPr="007244F4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Link</w:t>
              </w:r>
            </w:hyperlink>
            <w:r w:rsidRPr="00B13A1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5C2512F2" w14:textId="77777777" w:rsidR="006C6945" w:rsidRPr="00F463CA" w:rsidRDefault="006C694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54C115" w14:textId="77777777" w:rsidR="006C6945" w:rsidRPr="00B13A1C" w:rsidRDefault="006C6945" w:rsidP="00B13A1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B13A1C">
              <w:rPr>
                <w:rFonts w:asciiTheme="majorHAnsi" w:hAnsiTheme="majorHAnsi" w:cstheme="majorHAnsi"/>
                <w:sz w:val="18"/>
                <w:szCs w:val="18"/>
              </w:rPr>
              <w:t>Monitor effort commitment levels</w:t>
            </w:r>
            <w:r w:rsidR="00162B25" w:rsidRPr="00B13A1C">
              <w:rPr>
                <w:rFonts w:asciiTheme="majorHAnsi" w:hAnsiTheme="majorHAnsi" w:cstheme="majorHAnsi"/>
                <w:sz w:val="18"/>
                <w:szCs w:val="18"/>
              </w:rPr>
              <w:t xml:space="preserve"> and cost sharing as appropriate for Primary Individuals</w:t>
            </w:r>
            <w:r w:rsidRPr="00B13A1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F7FFD12" w14:textId="77777777" w:rsidR="006C6945" w:rsidRPr="00F463CA" w:rsidRDefault="006C694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1C8F75" w14:textId="77777777" w:rsidR="006C6945" w:rsidRPr="00B13A1C" w:rsidRDefault="00162B25" w:rsidP="00B13A1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B13A1C">
              <w:rPr>
                <w:rFonts w:asciiTheme="majorHAnsi" w:hAnsiTheme="majorHAnsi" w:cstheme="majorHAnsi"/>
                <w:sz w:val="18"/>
                <w:szCs w:val="18"/>
              </w:rPr>
              <w:t>Facilitate</w:t>
            </w:r>
            <w:r w:rsidR="006C6945" w:rsidRPr="00B13A1C">
              <w:rPr>
                <w:rFonts w:asciiTheme="majorHAnsi" w:hAnsiTheme="majorHAnsi" w:cstheme="majorHAnsi"/>
                <w:sz w:val="18"/>
                <w:szCs w:val="18"/>
              </w:rPr>
              <w:t xml:space="preserve"> retroactive salary adjustments to ensure all adjustments are complete within 45 days after effort certification period ends.</w:t>
            </w:r>
          </w:p>
          <w:p w14:paraId="0EB82EFC" w14:textId="77777777" w:rsidR="006C6945" w:rsidRPr="00F463CA" w:rsidRDefault="006C694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EF24DB" w14:textId="77777777" w:rsidR="006C6945" w:rsidRPr="00B13A1C" w:rsidRDefault="00162B25" w:rsidP="00B13A1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B13A1C">
              <w:rPr>
                <w:rFonts w:asciiTheme="majorHAnsi" w:hAnsiTheme="majorHAnsi" w:cstheme="majorHAnsi"/>
                <w:sz w:val="18"/>
                <w:szCs w:val="18"/>
              </w:rPr>
              <w:t xml:space="preserve">Review and assist that </w:t>
            </w:r>
            <w:r w:rsidR="006C6945" w:rsidRPr="00B13A1C">
              <w:rPr>
                <w:rFonts w:asciiTheme="majorHAnsi" w:hAnsiTheme="majorHAnsi" w:cstheme="majorHAnsi"/>
                <w:sz w:val="18"/>
                <w:szCs w:val="18"/>
              </w:rPr>
              <w:t>all sponsor salary cap requirements are met based on certified effort (</w:t>
            </w:r>
            <w:hyperlink r:id="rId19" w:history="1">
              <w:r w:rsidR="00C20219" w:rsidRPr="00C20219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NIH</w:t>
              </w:r>
            </w:hyperlink>
            <w:r w:rsidR="008B544F">
              <w:rPr>
                <w:rFonts w:asciiTheme="majorHAnsi" w:hAnsiTheme="majorHAnsi" w:cstheme="majorHAnsi"/>
                <w:sz w:val="18"/>
                <w:szCs w:val="18"/>
              </w:rPr>
              <w:t>, CPRIT, etc.</w:t>
            </w:r>
            <w:r w:rsidR="006C6945" w:rsidRPr="00B13A1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</w:p>
          <w:p w14:paraId="5365BEF2" w14:textId="77777777" w:rsidR="006C6945" w:rsidRPr="00F463CA" w:rsidRDefault="006C694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15B3E82" w14:textId="77777777" w:rsidR="00733F75" w:rsidRPr="00F463CA" w:rsidRDefault="00162B2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6C6945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Assist PECs with </w:t>
            </w:r>
            <w:r w:rsidR="006C6945" w:rsidRPr="00F463CA">
              <w:rPr>
                <w:rFonts w:asciiTheme="majorHAnsi" w:hAnsiTheme="majorHAnsi" w:cstheme="majorHAnsi"/>
                <w:sz w:val="18"/>
                <w:szCs w:val="18"/>
              </w:rPr>
              <w:t>certif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ication on</w:t>
            </w:r>
            <w:r w:rsidR="006C6945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non-sponsored projects tied to their department</w:t>
            </w:r>
          </w:p>
        </w:tc>
      </w:tr>
    </w:tbl>
    <w:p w14:paraId="69F9C760" w14:textId="77777777" w:rsidR="00E30C75" w:rsidRPr="00F463CA" w:rsidRDefault="00E30C75">
      <w:pPr>
        <w:rPr>
          <w:rFonts w:asciiTheme="majorHAnsi" w:hAnsiTheme="majorHAnsi" w:cstheme="majorHAnsi"/>
          <w:sz w:val="18"/>
          <w:szCs w:val="18"/>
        </w:rPr>
      </w:pPr>
      <w:r w:rsidRPr="00F463CA">
        <w:rPr>
          <w:rFonts w:asciiTheme="majorHAnsi" w:hAnsiTheme="majorHAnsi" w:cstheme="majorHAnsi"/>
          <w:sz w:val="18"/>
          <w:szCs w:val="18"/>
        </w:rPr>
        <w:br w:type="page"/>
      </w:r>
    </w:p>
    <w:tbl>
      <w:tblPr>
        <w:tblStyle w:val="TableGrid"/>
        <w:tblpPr w:leftFromText="180" w:rightFromText="180" w:vertAnchor="text" w:tblpXSpec="center" w:tblpY="1"/>
        <w:tblOverlap w:val="never"/>
        <w:tblW w:w="11065" w:type="dxa"/>
        <w:jc w:val="center"/>
        <w:tblLook w:val="04A0" w:firstRow="1" w:lastRow="0" w:firstColumn="1" w:lastColumn="0" w:noHBand="0" w:noVBand="1"/>
      </w:tblPr>
      <w:tblGrid>
        <w:gridCol w:w="1558"/>
        <w:gridCol w:w="3027"/>
        <w:gridCol w:w="3780"/>
        <w:gridCol w:w="2700"/>
      </w:tblGrid>
      <w:tr w:rsidR="00E30C75" w:rsidRPr="00F463CA" w14:paraId="47E61C2D" w14:textId="77777777" w:rsidTr="00FD677B">
        <w:trPr>
          <w:trHeight w:val="80"/>
          <w:jc w:val="center"/>
        </w:trPr>
        <w:tc>
          <w:tcPr>
            <w:tcW w:w="1558" w:type="dxa"/>
          </w:tcPr>
          <w:p w14:paraId="2E629A43" w14:textId="77777777" w:rsidR="00E30C75" w:rsidRPr="00F463CA" w:rsidRDefault="00E30C75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Roles</w:t>
            </w:r>
          </w:p>
        </w:tc>
        <w:tc>
          <w:tcPr>
            <w:tcW w:w="3027" w:type="dxa"/>
          </w:tcPr>
          <w:p w14:paraId="17C4B92F" w14:textId="77777777" w:rsidR="00E30C75" w:rsidRPr="00F463CA" w:rsidRDefault="00E30C75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Role Description</w:t>
            </w:r>
          </w:p>
        </w:tc>
        <w:tc>
          <w:tcPr>
            <w:tcW w:w="3780" w:type="dxa"/>
          </w:tcPr>
          <w:p w14:paraId="7101066E" w14:textId="77777777" w:rsidR="00E30C75" w:rsidRPr="00F463CA" w:rsidRDefault="00E30C75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Responsibility</w:t>
            </w:r>
          </w:p>
        </w:tc>
        <w:tc>
          <w:tcPr>
            <w:tcW w:w="2700" w:type="dxa"/>
          </w:tcPr>
          <w:p w14:paraId="4F60994E" w14:textId="77777777" w:rsidR="00E30C75" w:rsidRPr="00F463CA" w:rsidRDefault="00E30C75" w:rsidP="00FD67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b/>
                <w:sz w:val="18"/>
                <w:szCs w:val="18"/>
              </w:rPr>
              <w:t>Tasks to Complete</w:t>
            </w:r>
          </w:p>
        </w:tc>
      </w:tr>
      <w:tr w:rsidR="00733F75" w:rsidRPr="00F463CA" w14:paraId="349D235A" w14:textId="77777777" w:rsidTr="00F81616">
        <w:trPr>
          <w:trHeight w:val="3716"/>
          <w:jc w:val="center"/>
        </w:trPr>
        <w:tc>
          <w:tcPr>
            <w:tcW w:w="1558" w:type="dxa"/>
          </w:tcPr>
          <w:p w14:paraId="61D3D831" w14:textId="77777777" w:rsidR="00733F75" w:rsidRPr="00F463CA" w:rsidRDefault="00733F7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Sponsored Pro</w:t>
            </w:r>
            <w:r w:rsidR="00E30C75" w:rsidRPr="00F463CA">
              <w:rPr>
                <w:rFonts w:asciiTheme="majorHAnsi" w:hAnsiTheme="majorHAnsi" w:cstheme="majorHAnsi"/>
                <w:sz w:val="18"/>
                <w:szCs w:val="18"/>
              </w:rPr>
              <w:t>jects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Administra</w:t>
            </w:r>
            <w:r w:rsidR="00E30C75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tion </w:t>
            </w:r>
          </w:p>
        </w:tc>
        <w:tc>
          <w:tcPr>
            <w:tcW w:w="3027" w:type="dxa"/>
          </w:tcPr>
          <w:p w14:paraId="1719B495" w14:textId="77777777" w:rsidR="001478CD" w:rsidRPr="00F463CA" w:rsidRDefault="001478CD" w:rsidP="00FD677B">
            <w:p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Provide</w:t>
            </w:r>
            <w:r w:rsidR="00E30C75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overall support of the system </w:t>
            </w:r>
            <w:r w:rsidR="00437447"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>business/functional aspects of UT Health’s electronic effort reporting system</w:t>
            </w:r>
            <w:r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>,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effort reporting training, guidance on requirements, and oversight of HOOP 93 compliance</w:t>
            </w:r>
            <w:r w:rsidR="008B544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031775E" w14:textId="77777777" w:rsidR="00E30C75" w:rsidRPr="00F463CA" w:rsidRDefault="00E30C7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4BD36AE" w14:textId="77777777" w:rsidR="00733F75" w:rsidRPr="00F463CA" w:rsidRDefault="00733F7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80" w:type="dxa"/>
          </w:tcPr>
          <w:p w14:paraId="39E76968" w14:textId="77777777" w:rsidR="00733F75" w:rsidRPr="00F463CA" w:rsidRDefault="00E91BB5" w:rsidP="00FD677B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Establish and m</w:t>
            </w:r>
            <w:r w:rsidR="00B704AC" w:rsidRPr="00F463CA">
              <w:rPr>
                <w:rFonts w:asciiTheme="majorHAnsi" w:hAnsiTheme="majorHAnsi" w:cstheme="majorHAnsi"/>
                <w:sz w:val="18"/>
                <w:szCs w:val="18"/>
              </w:rPr>
              <w:t>aintain the Effort Reporting Policy</w:t>
            </w:r>
            <w:r w:rsidR="00437447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7447" w:rsidRPr="00CA1521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hyperlink r:id="rId20" w:history="1">
              <w:r w:rsidR="00CA1521" w:rsidRPr="00CA152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Hoop 93</w:t>
              </w:r>
            </w:hyperlink>
            <w:r w:rsidR="00CA1521" w:rsidRPr="00CA1521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7DC39D75" w14:textId="77777777" w:rsidR="00B704AC" w:rsidRPr="00F463CA" w:rsidRDefault="00B704AC" w:rsidP="00FD677B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Provide effort reporting training</w:t>
            </w:r>
            <w:r w:rsidR="00C74E95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and </w:t>
            </w: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guidance </w:t>
            </w:r>
          </w:p>
          <w:p w14:paraId="547C9A2C" w14:textId="77777777" w:rsidR="00B704AC" w:rsidRPr="00F463CA" w:rsidRDefault="008036E2" w:rsidP="00FD677B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>I</w:t>
            </w:r>
            <w:r w:rsidR="00DB204E"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>mplement system modifications as required by new or changing policies, accounting or reporting practices, federal requirements, or any other compliance-related matter</w:t>
            </w:r>
          </w:p>
          <w:p w14:paraId="4B336FD0" w14:textId="77777777" w:rsidR="003161DE" w:rsidRPr="00F463CA" w:rsidRDefault="003161DE" w:rsidP="00FD677B">
            <w:pPr>
              <w:numPr>
                <w:ilvl w:val="0"/>
                <w:numId w:val="2"/>
              </w:numPr>
              <w:shd w:val="clear" w:color="auto" w:fill="FFFFFF"/>
              <w:rPr>
                <w:rFonts w:asciiTheme="majorHAnsi" w:hAnsiTheme="majorHAnsi" w:cstheme="majorHAnsi"/>
                <w:color w:val="1E1E1E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 xml:space="preserve">Manage the technical aspects of UT Health’s electronic effort reporting system </w:t>
            </w:r>
          </w:p>
          <w:p w14:paraId="0F5552A3" w14:textId="77777777" w:rsidR="003161DE" w:rsidRPr="00F463CA" w:rsidRDefault="003161DE" w:rsidP="00FD677B">
            <w:pPr>
              <w:numPr>
                <w:ilvl w:val="0"/>
                <w:numId w:val="2"/>
              </w:numPr>
              <w:shd w:val="clear" w:color="auto" w:fill="FFFFFF"/>
              <w:rPr>
                <w:rFonts w:asciiTheme="majorHAnsi" w:hAnsiTheme="majorHAnsi" w:cstheme="majorHAnsi"/>
                <w:color w:val="1E1E1E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 xml:space="preserve">Manage security roles, rights and user access </w:t>
            </w:r>
          </w:p>
          <w:p w14:paraId="574FE30C" w14:textId="77777777" w:rsidR="003161DE" w:rsidRPr="00F463CA" w:rsidRDefault="003161DE" w:rsidP="00FD677B">
            <w:pPr>
              <w:numPr>
                <w:ilvl w:val="0"/>
                <w:numId w:val="2"/>
              </w:numPr>
              <w:shd w:val="clear" w:color="auto" w:fill="FFFFFF"/>
              <w:rPr>
                <w:rFonts w:asciiTheme="majorHAnsi" w:hAnsiTheme="majorHAnsi" w:cstheme="majorHAnsi"/>
                <w:color w:val="1E1E1E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 xml:space="preserve">Manage data uploads </w:t>
            </w:r>
            <w:r w:rsidR="00437447"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>from source systems</w:t>
            </w:r>
          </w:p>
          <w:p w14:paraId="2EC6272A" w14:textId="77777777" w:rsidR="003161DE" w:rsidRPr="00F463CA" w:rsidRDefault="00437447" w:rsidP="00FD677B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>R</w:t>
            </w:r>
            <w:r w:rsidR="003161DE"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 xml:space="preserve">espond to </w:t>
            </w:r>
            <w:r w:rsidR="00C74E95"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 xml:space="preserve">business, </w:t>
            </w:r>
            <w:r w:rsidR="003161DE"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>functional and technical questions and issues</w:t>
            </w:r>
            <w:r w:rsidRPr="00F463CA">
              <w:rPr>
                <w:rFonts w:asciiTheme="majorHAnsi" w:hAnsiTheme="majorHAnsi" w:cstheme="majorHAnsi"/>
                <w:color w:val="1E1E1E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14:paraId="02D94E01" w14:textId="77777777" w:rsidR="00C74E95" w:rsidRPr="00F463CA" w:rsidRDefault="00C74E95" w:rsidP="00FD67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Effort Reporting training established </w:t>
            </w:r>
            <w:r w:rsidR="006D707C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hyperlink r:id="rId21" w:history="1">
              <w:r w:rsidR="00E116F7" w:rsidRPr="00E116F7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Link to Training Material</w:t>
              </w:r>
            </w:hyperlink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6592245F" w14:textId="77777777" w:rsidR="00C74E95" w:rsidRPr="00F463CA" w:rsidRDefault="00C74E95" w:rsidP="00FD67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Perform data validation process after each data load</w:t>
            </w:r>
          </w:p>
          <w:p w14:paraId="328A5091" w14:textId="77777777" w:rsidR="00C74E95" w:rsidRPr="00F463CA" w:rsidRDefault="00C74E95" w:rsidP="00FD67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Review and correct error logs from data loads</w:t>
            </w:r>
            <w:r w:rsidR="00437447" w:rsidRPr="00F463C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41A569" w14:textId="77777777" w:rsidR="00417EFA" w:rsidRPr="00F463CA" w:rsidRDefault="00C74E95" w:rsidP="00FD67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F463CA">
              <w:rPr>
                <w:rFonts w:asciiTheme="majorHAnsi" w:hAnsiTheme="majorHAnsi" w:cstheme="majorHAnsi"/>
                <w:sz w:val="18"/>
                <w:szCs w:val="18"/>
              </w:rPr>
              <w:t>Review user access each quarter to ensure appropriate system access</w:t>
            </w:r>
          </w:p>
          <w:p w14:paraId="1473AC13" w14:textId="77777777" w:rsidR="00733F75" w:rsidRPr="00F463CA" w:rsidRDefault="00733F75" w:rsidP="00FD67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B62145B" w14:textId="77777777" w:rsidR="00A54083" w:rsidRPr="00F463CA" w:rsidRDefault="00A54083" w:rsidP="00A54083">
      <w:pPr>
        <w:rPr>
          <w:rFonts w:asciiTheme="majorHAnsi" w:hAnsiTheme="majorHAnsi" w:cstheme="majorHAnsi"/>
          <w:sz w:val="18"/>
          <w:szCs w:val="18"/>
        </w:rPr>
      </w:pPr>
    </w:p>
    <w:p w14:paraId="4CB3A6AC" w14:textId="77777777" w:rsidR="00325190" w:rsidRPr="00F463CA" w:rsidRDefault="00325190" w:rsidP="00A54083">
      <w:pPr>
        <w:rPr>
          <w:rFonts w:asciiTheme="majorHAnsi" w:hAnsiTheme="majorHAnsi" w:cstheme="majorHAnsi"/>
          <w:sz w:val="18"/>
          <w:szCs w:val="18"/>
        </w:rPr>
      </w:pPr>
    </w:p>
    <w:sectPr w:rsidR="00325190" w:rsidRPr="00F463CA" w:rsidSect="00336B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283"/>
    <w:multiLevelType w:val="hybridMultilevel"/>
    <w:tmpl w:val="DD74248E"/>
    <w:lvl w:ilvl="0" w:tplc="D114693E">
      <w:start w:val="1"/>
      <w:numFmt w:val="decimal"/>
      <w:suff w:val="space"/>
      <w:lvlText w:val="%1)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6D95"/>
    <w:multiLevelType w:val="hybridMultilevel"/>
    <w:tmpl w:val="76BA2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568EA"/>
    <w:multiLevelType w:val="hybridMultilevel"/>
    <w:tmpl w:val="49AE20D2"/>
    <w:lvl w:ilvl="0" w:tplc="BB6A87C6">
      <w:start w:val="1"/>
      <w:numFmt w:val="decimal"/>
      <w:suff w:val="space"/>
      <w:lvlText w:val="%1)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78AD"/>
    <w:multiLevelType w:val="hybridMultilevel"/>
    <w:tmpl w:val="0CD6B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F469C"/>
    <w:multiLevelType w:val="multilevel"/>
    <w:tmpl w:val="14EC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6024BF"/>
    <w:multiLevelType w:val="hybridMultilevel"/>
    <w:tmpl w:val="AD8A314A"/>
    <w:lvl w:ilvl="0" w:tplc="29120A0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B0D89"/>
    <w:multiLevelType w:val="hybridMultilevel"/>
    <w:tmpl w:val="E750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1675C"/>
    <w:multiLevelType w:val="hybridMultilevel"/>
    <w:tmpl w:val="3A14938C"/>
    <w:lvl w:ilvl="0" w:tplc="D1E0297E">
      <w:start w:val="1"/>
      <w:numFmt w:val="decimal"/>
      <w:suff w:val="space"/>
      <w:lvlText w:val="%1)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6577B"/>
    <w:multiLevelType w:val="multilevel"/>
    <w:tmpl w:val="A098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DF74F8"/>
    <w:multiLevelType w:val="hybridMultilevel"/>
    <w:tmpl w:val="A0125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34657"/>
    <w:multiLevelType w:val="hybridMultilevel"/>
    <w:tmpl w:val="3BDA94A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1C0CBB"/>
    <w:multiLevelType w:val="hybridMultilevel"/>
    <w:tmpl w:val="3B188F04"/>
    <w:lvl w:ilvl="0" w:tplc="30A6C45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F5057"/>
    <w:multiLevelType w:val="hybridMultilevel"/>
    <w:tmpl w:val="94A86C10"/>
    <w:lvl w:ilvl="0" w:tplc="A2E24286">
      <w:start w:val="1"/>
      <w:numFmt w:val="decimal"/>
      <w:suff w:val="space"/>
      <w:lvlText w:val="%1)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86373"/>
    <w:multiLevelType w:val="multilevel"/>
    <w:tmpl w:val="36FEFDB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72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12"/>
  </w:num>
  <w:num w:numId="7">
    <w:abstractNumId w:val="13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83"/>
    <w:rsid w:val="000106A9"/>
    <w:rsid w:val="00021A2C"/>
    <w:rsid w:val="0003243F"/>
    <w:rsid w:val="00033D4F"/>
    <w:rsid w:val="0003536C"/>
    <w:rsid w:val="000405A1"/>
    <w:rsid w:val="0006543C"/>
    <w:rsid w:val="000A0241"/>
    <w:rsid w:val="000A47F4"/>
    <w:rsid w:val="000E0AEA"/>
    <w:rsid w:val="000E66E8"/>
    <w:rsid w:val="000F6F70"/>
    <w:rsid w:val="00140634"/>
    <w:rsid w:val="001478CD"/>
    <w:rsid w:val="00162B25"/>
    <w:rsid w:val="001714BA"/>
    <w:rsid w:val="001C7C1A"/>
    <w:rsid w:val="001D0597"/>
    <w:rsid w:val="001D2300"/>
    <w:rsid w:val="00212E53"/>
    <w:rsid w:val="00215009"/>
    <w:rsid w:val="0022215B"/>
    <w:rsid w:val="00281F82"/>
    <w:rsid w:val="00291A6F"/>
    <w:rsid w:val="002B6824"/>
    <w:rsid w:val="002C7848"/>
    <w:rsid w:val="002F4FA2"/>
    <w:rsid w:val="002F7AFA"/>
    <w:rsid w:val="003161DE"/>
    <w:rsid w:val="00325190"/>
    <w:rsid w:val="00336BAA"/>
    <w:rsid w:val="00364994"/>
    <w:rsid w:val="00376C17"/>
    <w:rsid w:val="00380166"/>
    <w:rsid w:val="003B659D"/>
    <w:rsid w:val="003C5D45"/>
    <w:rsid w:val="00417EFA"/>
    <w:rsid w:val="00437447"/>
    <w:rsid w:val="00442535"/>
    <w:rsid w:val="004623BA"/>
    <w:rsid w:val="00465AA8"/>
    <w:rsid w:val="004A28EB"/>
    <w:rsid w:val="004B6D4A"/>
    <w:rsid w:val="004D42B4"/>
    <w:rsid w:val="004F65BA"/>
    <w:rsid w:val="00521361"/>
    <w:rsid w:val="005443A2"/>
    <w:rsid w:val="00546F44"/>
    <w:rsid w:val="0058094A"/>
    <w:rsid w:val="0058517D"/>
    <w:rsid w:val="0059175E"/>
    <w:rsid w:val="005A2A65"/>
    <w:rsid w:val="005B3743"/>
    <w:rsid w:val="005E7A8B"/>
    <w:rsid w:val="005F422A"/>
    <w:rsid w:val="00610ECA"/>
    <w:rsid w:val="00622394"/>
    <w:rsid w:val="006267F2"/>
    <w:rsid w:val="00643096"/>
    <w:rsid w:val="006617B2"/>
    <w:rsid w:val="00691E3D"/>
    <w:rsid w:val="00693997"/>
    <w:rsid w:val="006C6945"/>
    <w:rsid w:val="006D01B4"/>
    <w:rsid w:val="006D707C"/>
    <w:rsid w:val="006E0EAE"/>
    <w:rsid w:val="00715BBF"/>
    <w:rsid w:val="007244F4"/>
    <w:rsid w:val="00733F75"/>
    <w:rsid w:val="00751C9D"/>
    <w:rsid w:val="00777CE1"/>
    <w:rsid w:val="007B6648"/>
    <w:rsid w:val="008036E2"/>
    <w:rsid w:val="00846436"/>
    <w:rsid w:val="008554DC"/>
    <w:rsid w:val="0087221F"/>
    <w:rsid w:val="00896960"/>
    <w:rsid w:val="008A1750"/>
    <w:rsid w:val="008A1DA7"/>
    <w:rsid w:val="008B544F"/>
    <w:rsid w:val="008C45EB"/>
    <w:rsid w:val="008E2979"/>
    <w:rsid w:val="009140BD"/>
    <w:rsid w:val="00923125"/>
    <w:rsid w:val="009834F8"/>
    <w:rsid w:val="0098787F"/>
    <w:rsid w:val="0099067E"/>
    <w:rsid w:val="009C2CE1"/>
    <w:rsid w:val="00A00E2B"/>
    <w:rsid w:val="00A02EAE"/>
    <w:rsid w:val="00A13FF6"/>
    <w:rsid w:val="00A401CB"/>
    <w:rsid w:val="00A448CC"/>
    <w:rsid w:val="00A54083"/>
    <w:rsid w:val="00A66153"/>
    <w:rsid w:val="00AF3B91"/>
    <w:rsid w:val="00B13A1C"/>
    <w:rsid w:val="00B170AF"/>
    <w:rsid w:val="00B234B9"/>
    <w:rsid w:val="00B27A6C"/>
    <w:rsid w:val="00B704AC"/>
    <w:rsid w:val="00B7756E"/>
    <w:rsid w:val="00BB1828"/>
    <w:rsid w:val="00BC464A"/>
    <w:rsid w:val="00BC4F28"/>
    <w:rsid w:val="00BE3FA3"/>
    <w:rsid w:val="00C14448"/>
    <w:rsid w:val="00C20219"/>
    <w:rsid w:val="00C47DFF"/>
    <w:rsid w:val="00C73E6A"/>
    <w:rsid w:val="00C74E95"/>
    <w:rsid w:val="00C975C0"/>
    <w:rsid w:val="00CA1521"/>
    <w:rsid w:val="00D11137"/>
    <w:rsid w:val="00D76E47"/>
    <w:rsid w:val="00D77AE2"/>
    <w:rsid w:val="00D95F9E"/>
    <w:rsid w:val="00D977A4"/>
    <w:rsid w:val="00DB204E"/>
    <w:rsid w:val="00DE6DAC"/>
    <w:rsid w:val="00DF1086"/>
    <w:rsid w:val="00DF3E0F"/>
    <w:rsid w:val="00E0573C"/>
    <w:rsid w:val="00E116F7"/>
    <w:rsid w:val="00E16CA2"/>
    <w:rsid w:val="00E30C75"/>
    <w:rsid w:val="00E4148C"/>
    <w:rsid w:val="00E43836"/>
    <w:rsid w:val="00E524AC"/>
    <w:rsid w:val="00E555C7"/>
    <w:rsid w:val="00E66F50"/>
    <w:rsid w:val="00E87C32"/>
    <w:rsid w:val="00E91BB5"/>
    <w:rsid w:val="00EB131A"/>
    <w:rsid w:val="00EB679A"/>
    <w:rsid w:val="00ED3E4E"/>
    <w:rsid w:val="00ED47EB"/>
    <w:rsid w:val="00ED5699"/>
    <w:rsid w:val="00EF0F4E"/>
    <w:rsid w:val="00F1210D"/>
    <w:rsid w:val="00F3027C"/>
    <w:rsid w:val="00F44818"/>
    <w:rsid w:val="00F463CA"/>
    <w:rsid w:val="00F76913"/>
    <w:rsid w:val="00F81616"/>
    <w:rsid w:val="00FB1542"/>
    <w:rsid w:val="00FD677B"/>
    <w:rsid w:val="00FD7FC8"/>
    <w:rsid w:val="00F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09BA"/>
  <w15:chartTrackingRefBased/>
  <w15:docId w15:val="{5729B988-9C7A-48AF-A680-5F93BE2F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251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2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2C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2CE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2519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h.edu/sponsored-projects-administration/tools-resources/tools-resources-documents/ECC%20Access%20Form.pdf" TargetMode="External"/><Relationship Id="rId13" Type="http://schemas.openxmlformats.org/officeDocument/2006/relationships/hyperlink" Target="https://go.uth.edu/learn" TargetMode="External"/><Relationship Id="rId18" Type="http://schemas.openxmlformats.org/officeDocument/2006/relationships/hyperlink" Target="https://inside.uth.edu/it-training/public-queries-and-standard-repor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th.edu/sponsored-projects-administration/training-guidance/internal-training/effort" TargetMode="External"/><Relationship Id="rId7" Type="http://schemas.openxmlformats.org/officeDocument/2006/relationships/hyperlink" Target="https://go.uth.edu/learn" TargetMode="External"/><Relationship Id="rId12" Type="http://schemas.openxmlformats.org/officeDocument/2006/relationships/hyperlink" Target="https://grants.nih.gov/grants/guide/notice-files/NOT-OD-22-076.html" TargetMode="External"/><Relationship Id="rId17" Type="http://schemas.openxmlformats.org/officeDocument/2006/relationships/hyperlink" Target="https://go.uth.edu/lear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ants.nih.gov/grants/guide/notice-files/NOT-OD-22-076.html" TargetMode="External"/><Relationship Id="rId20" Type="http://schemas.openxmlformats.org/officeDocument/2006/relationships/hyperlink" Target="https://www.uth.edu/hoop/policy.htm?id=14480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th.edu/hoop/policy.htm?id=1448034" TargetMode="External"/><Relationship Id="rId11" Type="http://schemas.openxmlformats.org/officeDocument/2006/relationships/hyperlink" Target="https://www.uth.edu/sponsored-projects-administration/tools-resources/tools-resources-documents/Effort%20Coordinators%20Worklist%20during%20Pre-Review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th.edu/hoop/policy.htm?id=14479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th.edu/sponsored-projects-administration/tools-resources/tools-resources-documents/Effort%20Coordinators%20Worklist%20during%20Pre-Review3.pdf" TargetMode="External"/><Relationship Id="rId19" Type="http://schemas.openxmlformats.org/officeDocument/2006/relationships/hyperlink" Target="https://grants.nih.gov/grants/guide/notice-files/NOT-OD-22-07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nts.nih.gov/grants/guide/notice-files/NOT-OD-22-076.html" TargetMode="External"/><Relationship Id="rId14" Type="http://schemas.openxmlformats.org/officeDocument/2006/relationships/hyperlink" Target="https://inside.uth.edu/it-training/public-queries-and-standard-repor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4EF46-BC83-4B23-81DB-5470A0BD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Vanzant, Kimberly</dc:creator>
  <cp:keywords/>
  <dc:description/>
  <cp:lastModifiedBy>Felder-Robinson, Monekia</cp:lastModifiedBy>
  <cp:revision>2</cp:revision>
  <dcterms:created xsi:type="dcterms:W3CDTF">2025-10-08T12:51:00Z</dcterms:created>
  <dcterms:modified xsi:type="dcterms:W3CDTF">2025-10-08T12:51:00Z</dcterms:modified>
</cp:coreProperties>
</file>